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612" w:type="dxa"/>
        <w:tblLook w:val="04A0" w:firstRow="1" w:lastRow="0" w:firstColumn="1" w:lastColumn="0" w:noHBand="0" w:noVBand="1"/>
      </w:tblPr>
      <w:tblGrid>
        <w:gridCol w:w="1440"/>
        <w:gridCol w:w="7650"/>
        <w:gridCol w:w="1800"/>
      </w:tblGrid>
      <w:tr w:rsidR="00B8092E" w:rsidRPr="007E3777" w:rsidTr="00914043">
        <w:tc>
          <w:tcPr>
            <w:tcW w:w="1440" w:type="dxa"/>
            <w:shd w:val="clear" w:color="auto" w:fill="auto"/>
          </w:tcPr>
          <w:p w:rsidR="00B8092E" w:rsidRPr="007E3777" w:rsidRDefault="00B8092E" w:rsidP="00914043">
            <w:pPr>
              <w:jc w:val="center"/>
              <w:rPr>
                <w:b/>
              </w:rPr>
            </w:pPr>
            <w:r w:rsidRPr="007E3777">
              <w:rPr>
                <w:noProof/>
                <w:sz w:val="22"/>
                <w:shd w:val="clear" w:color="auto" w:fill="FFFFFF"/>
              </w:rPr>
              <w:drawing>
                <wp:inline distT="0" distB="0" distL="0" distR="0">
                  <wp:extent cx="620395" cy="6756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395" cy="675640"/>
                          </a:xfrm>
                          <a:prstGeom prst="rect">
                            <a:avLst/>
                          </a:prstGeom>
                          <a:noFill/>
                          <a:ln>
                            <a:noFill/>
                          </a:ln>
                        </pic:spPr>
                      </pic:pic>
                    </a:graphicData>
                  </a:graphic>
                </wp:inline>
              </w:drawing>
            </w:r>
          </w:p>
        </w:tc>
        <w:tc>
          <w:tcPr>
            <w:tcW w:w="7650" w:type="dxa"/>
            <w:shd w:val="clear" w:color="auto" w:fill="auto"/>
          </w:tcPr>
          <w:p w:rsidR="00B8092E" w:rsidRPr="002D5A3A" w:rsidRDefault="00B8092E" w:rsidP="00914043">
            <w:pPr>
              <w:spacing w:before="120" w:after="120"/>
              <w:jc w:val="center"/>
              <w:rPr>
                <w:b/>
                <w:spacing w:val="-6"/>
                <w:sz w:val="23"/>
                <w:szCs w:val="23"/>
                <w:lang w:val="vi-VN"/>
              </w:rPr>
            </w:pPr>
            <w:r w:rsidRPr="002D5A3A">
              <w:rPr>
                <w:b/>
                <w:noProof/>
                <w:sz w:val="23"/>
                <w:szCs w:val="23"/>
              </w:rPr>
              <w:drawing>
                <wp:anchor distT="0" distB="0" distL="114300" distR="114300" simplePos="0" relativeHeight="251658240" behindDoc="0" locked="0" layoutInCell="1" allowOverlap="1">
                  <wp:simplePos x="0" y="0"/>
                  <wp:positionH relativeFrom="column">
                    <wp:posOffset>4767580</wp:posOffset>
                  </wp:positionH>
                  <wp:positionV relativeFrom="paragraph">
                    <wp:posOffset>157480</wp:posOffset>
                  </wp:positionV>
                  <wp:extent cx="866140" cy="438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140" cy="438785"/>
                          </a:xfrm>
                          <a:prstGeom prst="rect">
                            <a:avLst/>
                          </a:prstGeom>
                          <a:noFill/>
                        </pic:spPr>
                      </pic:pic>
                    </a:graphicData>
                  </a:graphic>
                  <wp14:sizeRelH relativeFrom="page">
                    <wp14:pctWidth>0</wp14:pctWidth>
                  </wp14:sizeRelH>
                  <wp14:sizeRelV relativeFrom="page">
                    <wp14:pctHeight>0</wp14:pctHeight>
                  </wp14:sizeRelV>
                </wp:anchor>
              </w:drawing>
            </w:r>
            <w:r w:rsidRPr="002D5A3A">
              <w:rPr>
                <w:b/>
                <w:sz w:val="23"/>
                <w:szCs w:val="23"/>
              </w:rPr>
              <w:t xml:space="preserve">THÔNG BÁO BÁN ĐẤU GIÁ LÔ CỔ PHẦN KÈM NỢ PHẢI THU CỦA </w:t>
            </w:r>
            <w:r w:rsidRPr="002D5A3A">
              <w:rPr>
                <w:b/>
                <w:spacing w:val="-6"/>
                <w:sz w:val="23"/>
                <w:szCs w:val="23"/>
              </w:rPr>
              <w:t>CÔNG TY TNHH MUA BÁN NỢ VIỆT NAM (DATC)</w:t>
            </w:r>
          </w:p>
          <w:p w:rsidR="00B8092E" w:rsidRPr="002D5A3A" w:rsidRDefault="00B8092E" w:rsidP="00914043">
            <w:pPr>
              <w:spacing w:before="120" w:after="120"/>
              <w:jc w:val="center"/>
              <w:rPr>
                <w:b/>
                <w:sz w:val="23"/>
                <w:szCs w:val="23"/>
              </w:rPr>
            </w:pPr>
            <w:r w:rsidRPr="002D5A3A">
              <w:rPr>
                <w:b/>
                <w:spacing w:val="-6"/>
                <w:sz w:val="23"/>
                <w:szCs w:val="23"/>
                <w:lang w:val="vi-VN"/>
              </w:rPr>
              <w:t xml:space="preserve">TẠI </w:t>
            </w:r>
            <w:r w:rsidRPr="002D5A3A">
              <w:rPr>
                <w:b/>
                <w:spacing w:val="-6"/>
                <w:sz w:val="23"/>
                <w:szCs w:val="23"/>
              </w:rPr>
              <w:t xml:space="preserve">NHÓM CÔNG TY: CÔNG TY CỔ PHẦN TẬP ĐOÀN GANG THÉP               HÀN VIỆT VÀ CÔNG TY CỔ PHẦN THÉP VÀ VẬT LIỆU XÂY DỰNG </w:t>
            </w:r>
          </w:p>
        </w:tc>
        <w:tc>
          <w:tcPr>
            <w:tcW w:w="1800" w:type="dxa"/>
            <w:shd w:val="clear" w:color="auto" w:fill="auto"/>
          </w:tcPr>
          <w:p w:rsidR="00B8092E" w:rsidRPr="007E3777" w:rsidRDefault="00B8092E" w:rsidP="00914043">
            <w:pPr>
              <w:jc w:val="center"/>
              <w:rPr>
                <w:b/>
              </w:rPr>
            </w:pPr>
          </w:p>
        </w:tc>
      </w:tr>
    </w:tbl>
    <w:p w:rsidR="00B8092E" w:rsidRPr="007E3777" w:rsidRDefault="00B8092E" w:rsidP="00B8092E">
      <w:pPr>
        <w:rPr>
          <w:vanish/>
          <w:sz w:val="22"/>
          <w:szCs w:val="22"/>
        </w:rPr>
      </w:pPr>
    </w:p>
    <w:tbl>
      <w:tblPr>
        <w:tblW w:w="1095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20"/>
        <w:gridCol w:w="7230"/>
      </w:tblGrid>
      <w:tr w:rsidR="00B8092E" w:rsidRPr="00D62719" w:rsidTr="00914043">
        <w:trPr>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bookmarkStart w:id="0" w:name="_GoBack"/>
            <w:r w:rsidRPr="00D62719">
              <w:rPr>
                <w:sz w:val="19"/>
                <w:szCs w:val="19"/>
              </w:rPr>
              <w:t>Tổ chức là chủ sở hữu lô cổ phần kèm nợ phải thu chuyển nhượng</w:t>
            </w:r>
          </w:p>
        </w:tc>
        <w:tc>
          <w:tcPr>
            <w:tcW w:w="7230" w:type="dxa"/>
            <w:vAlign w:val="center"/>
          </w:tcPr>
          <w:p w:rsidR="00B8092E" w:rsidRPr="00D62719" w:rsidRDefault="00B8092E" w:rsidP="00914043">
            <w:pPr>
              <w:spacing w:before="60" w:after="60" w:line="264" w:lineRule="auto"/>
              <w:jc w:val="both"/>
              <w:rPr>
                <w:b/>
                <w:sz w:val="19"/>
                <w:szCs w:val="19"/>
              </w:rPr>
            </w:pPr>
            <w:r w:rsidRPr="00D62719">
              <w:rPr>
                <w:b/>
                <w:sz w:val="19"/>
                <w:szCs w:val="19"/>
              </w:rPr>
              <w:t>Công ty TNHH Mua bán nợ Việt Nam (DATC)</w:t>
            </w:r>
          </w:p>
          <w:p w:rsidR="00B8092E" w:rsidRPr="00D62719" w:rsidRDefault="00B8092E" w:rsidP="00914043">
            <w:pPr>
              <w:spacing w:before="60" w:after="60" w:line="264" w:lineRule="auto"/>
              <w:jc w:val="both"/>
              <w:rPr>
                <w:bCs/>
                <w:sz w:val="19"/>
                <w:szCs w:val="19"/>
              </w:rPr>
            </w:pPr>
            <w:r w:rsidRPr="00D62719">
              <w:rPr>
                <w:bCs/>
                <w:sz w:val="19"/>
                <w:szCs w:val="19"/>
              </w:rPr>
              <w:t>Địa chỉ: 51 Quang Trung, phường Nguyễn Du, Quận Hai Bà Trưng, TP. Hà Nội</w:t>
            </w:r>
          </w:p>
        </w:tc>
      </w:tr>
      <w:tr w:rsidR="00B8092E" w:rsidRPr="00D62719" w:rsidTr="00914043">
        <w:trPr>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t>Thông tin về Doanh nghiệp có cổ phần kèm nợ phải thu cần chuyển nhượng:</w:t>
            </w:r>
          </w:p>
        </w:tc>
        <w:tc>
          <w:tcPr>
            <w:tcW w:w="7230" w:type="dxa"/>
            <w:vAlign w:val="center"/>
          </w:tcPr>
          <w:p w:rsidR="00B8092E" w:rsidRPr="00D62719" w:rsidRDefault="00B8092E" w:rsidP="00914043">
            <w:pPr>
              <w:spacing w:before="60" w:after="60" w:line="264" w:lineRule="auto"/>
              <w:jc w:val="both"/>
              <w:rPr>
                <w:b/>
                <w:sz w:val="19"/>
                <w:szCs w:val="19"/>
              </w:rPr>
            </w:pPr>
            <w:r w:rsidRPr="00D62719">
              <w:rPr>
                <w:b/>
                <w:sz w:val="19"/>
                <w:szCs w:val="19"/>
              </w:rPr>
              <w:t xml:space="preserve">Nhóm Công ty Hàn Việt, bao gồm: </w:t>
            </w:r>
          </w:p>
          <w:p w:rsidR="00B8092E" w:rsidRPr="00D62719" w:rsidRDefault="00B8092E" w:rsidP="00914043">
            <w:pPr>
              <w:spacing w:before="60" w:after="60" w:line="264" w:lineRule="auto"/>
              <w:jc w:val="both"/>
              <w:rPr>
                <w:b/>
                <w:sz w:val="19"/>
                <w:szCs w:val="19"/>
              </w:rPr>
            </w:pPr>
            <w:r w:rsidRPr="00D62719">
              <w:rPr>
                <w:b/>
                <w:sz w:val="19"/>
                <w:szCs w:val="19"/>
              </w:rPr>
              <w:t>1. Công ty cổ phần Tập đoàn Gang thép Hàn Việt (HVS)</w:t>
            </w:r>
          </w:p>
          <w:p w:rsidR="00B8092E" w:rsidRPr="00D62719" w:rsidRDefault="00B8092E" w:rsidP="00B8092E">
            <w:pPr>
              <w:numPr>
                <w:ilvl w:val="0"/>
                <w:numId w:val="3"/>
              </w:numPr>
              <w:spacing w:before="60" w:after="60" w:line="264" w:lineRule="auto"/>
              <w:ind w:left="457"/>
              <w:jc w:val="both"/>
              <w:rPr>
                <w:bCs/>
                <w:sz w:val="19"/>
                <w:szCs w:val="19"/>
              </w:rPr>
            </w:pPr>
            <w:r w:rsidRPr="00D62719">
              <w:rPr>
                <w:bCs/>
                <w:sz w:val="19"/>
                <w:szCs w:val="19"/>
              </w:rPr>
              <w:t>Địa chỉ: Cụm công nghiệp Quất Động, Xã Quất Động, Huyện Thường Tín, Thành phố Hà Nội</w:t>
            </w:r>
          </w:p>
          <w:p w:rsidR="00B8092E" w:rsidRPr="00D62719" w:rsidRDefault="00B8092E" w:rsidP="00B8092E">
            <w:pPr>
              <w:numPr>
                <w:ilvl w:val="0"/>
                <w:numId w:val="3"/>
              </w:numPr>
              <w:spacing w:before="60" w:after="60" w:line="264" w:lineRule="auto"/>
              <w:ind w:left="457"/>
              <w:jc w:val="both"/>
              <w:rPr>
                <w:bCs/>
                <w:sz w:val="19"/>
                <w:szCs w:val="19"/>
              </w:rPr>
            </w:pPr>
            <w:r w:rsidRPr="00D62719">
              <w:rPr>
                <w:bCs/>
                <w:sz w:val="19"/>
                <w:szCs w:val="19"/>
              </w:rPr>
              <w:t>Điện thoại: 0243.3765196            Fax: 0243. 3765194</w:t>
            </w:r>
          </w:p>
          <w:p w:rsidR="00B8092E" w:rsidRPr="00D62719" w:rsidRDefault="00B8092E" w:rsidP="00B8092E">
            <w:pPr>
              <w:numPr>
                <w:ilvl w:val="0"/>
                <w:numId w:val="3"/>
              </w:numPr>
              <w:spacing w:before="60" w:after="60" w:line="264" w:lineRule="auto"/>
              <w:ind w:left="457"/>
              <w:jc w:val="both"/>
              <w:rPr>
                <w:bCs/>
                <w:sz w:val="19"/>
                <w:szCs w:val="19"/>
              </w:rPr>
            </w:pPr>
            <w:r w:rsidRPr="00D62719">
              <w:rPr>
                <w:bCs/>
                <w:sz w:val="19"/>
                <w:szCs w:val="19"/>
              </w:rPr>
              <w:t>Hoạt động kinh doanh chính: sản xuất phôi thép</w:t>
            </w:r>
          </w:p>
          <w:p w:rsidR="00B8092E" w:rsidRPr="00D62719" w:rsidRDefault="00B8092E" w:rsidP="00B8092E">
            <w:pPr>
              <w:numPr>
                <w:ilvl w:val="0"/>
                <w:numId w:val="3"/>
              </w:numPr>
              <w:spacing w:before="60" w:after="60" w:line="264" w:lineRule="auto"/>
              <w:ind w:left="457"/>
              <w:jc w:val="both"/>
              <w:rPr>
                <w:bCs/>
                <w:sz w:val="19"/>
                <w:szCs w:val="19"/>
              </w:rPr>
            </w:pPr>
            <w:r w:rsidRPr="00D62719">
              <w:rPr>
                <w:bCs/>
                <w:sz w:val="19"/>
                <w:szCs w:val="19"/>
              </w:rPr>
              <w:t>Vốn điều lệ: 210.000.000.000 đồng</w:t>
            </w:r>
          </w:p>
          <w:p w:rsidR="00B8092E" w:rsidRPr="00D62719" w:rsidRDefault="00B8092E" w:rsidP="00914043">
            <w:pPr>
              <w:spacing w:before="60" w:after="60" w:line="264" w:lineRule="auto"/>
              <w:jc w:val="both"/>
              <w:rPr>
                <w:rStyle w:val="Strong"/>
                <w:bCs w:val="0"/>
                <w:sz w:val="19"/>
                <w:szCs w:val="19"/>
              </w:rPr>
            </w:pPr>
            <w:r w:rsidRPr="00D62719">
              <w:rPr>
                <w:rStyle w:val="Strong"/>
                <w:bCs w:val="0"/>
                <w:sz w:val="19"/>
                <w:szCs w:val="19"/>
              </w:rPr>
              <w:t>2</w:t>
            </w:r>
            <w:r w:rsidRPr="00D62719">
              <w:rPr>
                <w:rStyle w:val="Strong"/>
                <w:sz w:val="19"/>
                <w:szCs w:val="19"/>
              </w:rPr>
              <w:t xml:space="preserve">. </w:t>
            </w:r>
            <w:r w:rsidRPr="00D62719">
              <w:rPr>
                <w:rStyle w:val="Strong"/>
                <w:bCs w:val="0"/>
                <w:sz w:val="19"/>
                <w:szCs w:val="19"/>
              </w:rPr>
              <w:t>Công ty cổ phần Thép và Vật liệu xây dựng (TVLXD)</w:t>
            </w:r>
          </w:p>
          <w:p w:rsidR="00B8092E" w:rsidRPr="00D62719" w:rsidRDefault="00B8092E" w:rsidP="00B8092E">
            <w:pPr>
              <w:numPr>
                <w:ilvl w:val="0"/>
                <w:numId w:val="3"/>
              </w:numPr>
              <w:spacing w:before="60" w:after="60" w:line="264" w:lineRule="auto"/>
              <w:ind w:left="457"/>
              <w:jc w:val="both"/>
              <w:rPr>
                <w:bCs/>
                <w:sz w:val="19"/>
                <w:szCs w:val="19"/>
              </w:rPr>
            </w:pPr>
            <w:r w:rsidRPr="00D62719">
              <w:rPr>
                <w:bCs/>
                <w:sz w:val="19"/>
                <w:szCs w:val="19"/>
              </w:rPr>
              <w:t>Trụ sở chính theo ĐKKD: Số 360 đường Giải Phóng, phường Phương Liệt, quận Thanh Xuân, Tp. Hà Nội</w:t>
            </w:r>
          </w:p>
          <w:p w:rsidR="00B8092E" w:rsidRPr="00D62719" w:rsidRDefault="00B8092E" w:rsidP="00B8092E">
            <w:pPr>
              <w:numPr>
                <w:ilvl w:val="0"/>
                <w:numId w:val="3"/>
              </w:numPr>
              <w:spacing w:before="60" w:after="60" w:line="264" w:lineRule="auto"/>
              <w:ind w:left="457"/>
              <w:jc w:val="both"/>
              <w:rPr>
                <w:bCs/>
                <w:sz w:val="19"/>
                <w:szCs w:val="19"/>
              </w:rPr>
            </w:pPr>
            <w:r w:rsidRPr="00D62719">
              <w:rPr>
                <w:bCs/>
                <w:sz w:val="19"/>
                <w:szCs w:val="19"/>
              </w:rPr>
              <w:t>Điện thoại: 024. 6646076            Fax: 024. 6640442</w:t>
            </w:r>
          </w:p>
          <w:p w:rsidR="00B8092E" w:rsidRPr="00D62719" w:rsidRDefault="00B8092E" w:rsidP="00B8092E">
            <w:pPr>
              <w:numPr>
                <w:ilvl w:val="0"/>
                <w:numId w:val="3"/>
              </w:numPr>
              <w:spacing w:before="60" w:after="60" w:line="264" w:lineRule="auto"/>
              <w:ind w:left="457"/>
              <w:jc w:val="both"/>
              <w:rPr>
                <w:rStyle w:val="Strong"/>
                <w:b w:val="0"/>
                <w:sz w:val="19"/>
                <w:szCs w:val="19"/>
              </w:rPr>
            </w:pPr>
            <w:r w:rsidRPr="00D62719">
              <w:rPr>
                <w:rStyle w:val="Strong"/>
                <w:b w:val="0"/>
                <w:sz w:val="19"/>
                <w:szCs w:val="19"/>
              </w:rPr>
              <w:t>Hoạt động kinh doanh chính: sản xuất gia công thép và VLXD</w:t>
            </w:r>
          </w:p>
          <w:p w:rsidR="00B8092E" w:rsidRPr="00D62719" w:rsidRDefault="00B8092E" w:rsidP="00B8092E">
            <w:pPr>
              <w:numPr>
                <w:ilvl w:val="0"/>
                <w:numId w:val="3"/>
              </w:numPr>
              <w:spacing w:before="60" w:after="60" w:line="264" w:lineRule="auto"/>
              <w:ind w:left="457"/>
              <w:jc w:val="both"/>
              <w:rPr>
                <w:rStyle w:val="Strong"/>
                <w:b w:val="0"/>
                <w:sz w:val="19"/>
                <w:szCs w:val="19"/>
              </w:rPr>
            </w:pPr>
            <w:r w:rsidRPr="00D62719">
              <w:rPr>
                <w:rStyle w:val="Strong"/>
                <w:b w:val="0"/>
                <w:sz w:val="19"/>
                <w:szCs w:val="19"/>
              </w:rPr>
              <w:t>Vốn điều lệ: 100.000.000.000 đồng</w:t>
            </w:r>
          </w:p>
        </w:tc>
      </w:tr>
      <w:tr w:rsidR="00B8092E" w:rsidRPr="00D62719" w:rsidTr="00914043">
        <w:trPr>
          <w:trHeight w:val="383"/>
          <w:jc w:val="center"/>
        </w:trPr>
        <w:tc>
          <w:tcPr>
            <w:tcW w:w="10950" w:type="dxa"/>
            <w:gridSpan w:val="2"/>
            <w:vAlign w:val="center"/>
          </w:tcPr>
          <w:p w:rsidR="00B8092E" w:rsidRPr="00D62719" w:rsidRDefault="00B8092E" w:rsidP="00B8092E">
            <w:pPr>
              <w:numPr>
                <w:ilvl w:val="0"/>
                <w:numId w:val="1"/>
              </w:numPr>
              <w:spacing w:before="60" w:after="60" w:line="264" w:lineRule="auto"/>
              <w:ind w:left="344"/>
              <w:jc w:val="both"/>
              <w:rPr>
                <w:rStyle w:val="Strong"/>
                <w:b w:val="0"/>
                <w:bCs w:val="0"/>
                <w:sz w:val="19"/>
                <w:szCs w:val="19"/>
              </w:rPr>
            </w:pPr>
            <w:r w:rsidRPr="00D62719">
              <w:rPr>
                <w:sz w:val="19"/>
                <w:szCs w:val="19"/>
              </w:rPr>
              <w:t>Thông tin về việc chuyển nhượng Lô cổ phần kèm nợ phải thu thuộc sở hữu của DATC tại nhóm Công ty Hàn Việt thông qua hình thức bán đấu giá công khai:</w:t>
            </w:r>
          </w:p>
        </w:tc>
      </w:tr>
      <w:tr w:rsidR="00B8092E" w:rsidRPr="00D62719" w:rsidTr="00914043">
        <w:trPr>
          <w:trHeight w:val="383"/>
          <w:jc w:val="center"/>
        </w:trPr>
        <w:tc>
          <w:tcPr>
            <w:tcW w:w="3720" w:type="dxa"/>
            <w:vAlign w:val="center"/>
          </w:tcPr>
          <w:p w:rsidR="00B8092E" w:rsidRPr="00D62719" w:rsidRDefault="00B8092E" w:rsidP="00B8092E">
            <w:pPr>
              <w:numPr>
                <w:ilvl w:val="0"/>
                <w:numId w:val="2"/>
              </w:numPr>
              <w:spacing w:before="60" w:after="60" w:line="264" w:lineRule="auto"/>
              <w:ind w:left="289" w:hanging="218"/>
              <w:rPr>
                <w:sz w:val="19"/>
                <w:szCs w:val="19"/>
              </w:rPr>
            </w:pPr>
            <w:r w:rsidRPr="00D62719">
              <w:rPr>
                <w:sz w:val="19"/>
                <w:szCs w:val="19"/>
              </w:rPr>
              <w:t>Số lượng cổ phần bán đấu giá:</w:t>
            </w:r>
          </w:p>
        </w:tc>
        <w:tc>
          <w:tcPr>
            <w:tcW w:w="7230" w:type="dxa"/>
            <w:vAlign w:val="center"/>
          </w:tcPr>
          <w:p w:rsidR="00B8092E" w:rsidRPr="00D62719" w:rsidRDefault="00B8092E" w:rsidP="00914043">
            <w:pPr>
              <w:spacing w:before="60" w:after="60" w:line="264" w:lineRule="auto"/>
              <w:jc w:val="both"/>
              <w:rPr>
                <w:sz w:val="19"/>
                <w:szCs w:val="19"/>
              </w:rPr>
            </w:pPr>
            <w:r w:rsidRPr="00D62719">
              <w:rPr>
                <w:sz w:val="19"/>
                <w:szCs w:val="19"/>
              </w:rPr>
              <w:t xml:space="preserve">Tại </w:t>
            </w:r>
            <w:r w:rsidRPr="00D62719">
              <w:rPr>
                <w:b/>
                <w:bCs/>
                <w:sz w:val="19"/>
                <w:szCs w:val="19"/>
              </w:rPr>
              <w:t>Công ty cổ phần Tập đoàn Gang thép Hàn Việt: 1.073.893 cổ phần</w:t>
            </w:r>
            <w:r w:rsidRPr="00D62719">
              <w:rPr>
                <w:sz w:val="19"/>
                <w:szCs w:val="19"/>
              </w:rPr>
              <w:t xml:space="preserve"> (tương ứng 51,14% vốn điều lệ CTCP Tập đoàn Gang thép Hàn Việt)</w:t>
            </w:r>
          </w:p>
          <w:p w:rsidR="00B8092E" w:rsidRPr="00D62719" w:rsidRDefault="00B8092E" w:rsidP="00914043">
            <w:pPr>
              <w:spacing w:before="60" w:after="60" w:line="264" w:lineRule="auto"/>
              <w:jc w:val="both"/>
              <w:rPr>
                <w:bCs/>
                <w:sz w:val="19"/>
                <w:szCs w:val="19"/>
              </w:rPr>
            </w:pPr>
            <w:r w:rsidRPr="00D62719">
              <w:rPr>
                <w:bCs/>
                <w:sz w:val="19"/>
                <w:szCs w:val="19"/>
              </w:rPr>
              <w:t>- Mệnh giá: 100.000 đồng/cổ phần  - Loại cổ phần: cổ phần phổ thông</w:t>
            </w:r>
          </w:p>
          <w:p w:rsidR="00B8092E" w:rsidRPr="00D62719" w:rsidRDefault="00B8092E" w:rsidP="00914043">
            <w:pPr>
              <w:spacing w:before="60" w:after="60" w:line="264" w:lineRule="auto"/>
              <w:jc w:val="both"/>
              <w:rPr>
                <w:b/>
                <w:bCs/>
                <w:sz w:val="19"/>
                <w:szCs w:val="19"/>
              </w:rPr>
            </w:pPr>
            <w:r w:rsidRPr="00D62719">
              <w:rPr>
                <w:sz w:val="19"/>
                <w:szCs w:val="19"/>
              </w:rPr>
              <w:t>Tại</w:t>
            </w:r>
            <w:r w:rsidRPr="00D62719">
              <w:rPr>
                <w:b/>
                <w:bCs/>
                <w:sz w:val="19"/>
                <w:szCs w:val="19"/>
              </w:rPr>
              <w:t xml:space="preserve"> Công ty cổ phần Thép và Vật liệu xây dựng: 5.184.100 cổ phần </w:t>
            </w:r>
            <w:r w:rsidRPr="00D62719">
              <w:rPr>
                <w:sz w:val="19"/>
                <w:szCs w:val="19"/>
              </w:rPr>
              <w:t>(tương ứng 51,84% vốn điều lệ CTCP Thép và Vật liệu xây dựng)</w:t>
            </w:r>
          </w:p>
          <w:p w:rsidR="00B8092E" w:rsidRPr="00D62719" w:rsidRDefault="00B8092E" w:rsidP="00914043">
            <w:pPr>
              <w:spacing w:before="60" w:after="60" w:line="264" w:lineRule="auto"/>
              <w:jc w:val="both"/>
              <w:rPr>
                <w:bCs/>
                <w:sz w:val="19"/>
                <w:szCs w:val="19"/>
              </w:rPr>
            </w:pPr>
            <w:r w:rsidRPr="00D62719">
              <w:rPr>
                <w:bCs/>
                <w:sz w:val="19"/>
                <w:szCs w:val="19"/>
              </w:rPr>
              <w:t>- Mệnh giá: 10.000 đồng/cổ phần  - Loại cổ phần: cổ phần phổ thông</w:t>
            </w:r>
          </w:p>
        </w:tc>
      </w:tr>
      <w:tr w:rsidR="00B8092E" w:rsidRPr="00D62719" w:rsidTr="00914043">
        <w:trPr>
          <w:trHeight w:val="383"/>
          <w:jc w:val="center"/>
        </w:trPr>
        <w:tc>
          <w:tcPr>
            <w:tcW w:w="3720" w:type="dxa"/>
            <w:vAlign w:val="center"/>
          </w:tcPr>
          <w:p w:rsidR="00B8092E" w:rsidRPr="00D62719" w:rsidRDefault="00B8092E" w:rsidP="00B8092E">
            <w:pPr>
              <w:numPr>
                <w:ilvl w:val="0"/>
                <w:numId w:val="2"/>
              </w:numPr>
              <w:spacing w:before="60" w:after="60" w:line="264" w:lineRule="auto"/>
              <w:ind w:left="289" w:hanging="218"/>
              <w:rPr>
                <w:sz w:val="19"/>
                <w:szCs w:val="19"/>
              </w:rPr>
            </w:pPr>
            <w:r w:rsidRPr="00D62719">
              <w:rPr>
                <w:sz w:val="19"/>
                <w:szCs w:val="19"/>
              </w:rPr>
              <w:t>Giá trị khoản nợ phải thu đến thời điểm 31/12/2022</w:t>
            </w:r>
            <w:r>
              <w:rPr>
                <w:sz w:val="19"/>
                <w:szCs w:val="19"/>
              </w:rPr>
              <w:t xml:space="preserve"> </w:t>
            </w:r>
            <w:r>
              <w:rPr>
                <w:i/>
                <w:iCs/>
                <w:sz w:val="19"/>
                <w:szCs w:val="19"/>
              </w:rPr>
              <w:t>(theo biên bản đối chiếu công nợ ký giữa DATC và các doanh nghiệp)</w:t>
            </w:r>
            <w:r w:rsidRPr="00D62719">
              <w:rPr>
                <w:sz w:val="19"/>
                <w:szCs w:val="19"/>
              </w:rPr>
              <w:t>:</w:t>
            </w:r>
          </w:p>
        </w:tc>
        <w:tc>
          <w:tcPr>
            <w:tcW w:w="7230" w:type="dxa"/>
            <w:vAlign w:val="center"/>
          </w:tcPr>
          <w:p w:rsidR="00B8092E" w:rsidRPr="00D62719" w:rsidRDefault="00B8092E" w:rsidP="00914043">
            <w:pPr>
              <w:spacing w:before="60" w:after="60" w:line="264" w:lineRule="auto"/>
              <w:jc w:val="both"/>
              <w:rPr>
                <w:sz w:val="19"/>
                <w:szCs w:val="19"/>
              </w:rPr>
            </w:pPr>
            <w:r w:rsidRPr="00D62719">
              <w:rPr>
                <w:sz w:val="19"/>
                <w:szCs w:val="19"/>
              </w:rPr>
              <w:t>Tại</w:t>
            </w:r>
            <w:r w:rsidRPr="00D62719">
              <w:rPr>
                <w:b/>
                <w:bCs/>
                <w:sz w:val="19"/>
                <w:szCs w:val="19"/>
              </w:rPr>
              <w:t xml:space="preserve"> Công ty cổ phần Tập đoàn Gang thép Hàn Việt: 462.726.364.8</w:t>
            </w:r>
            <w:r>
              <w:rPr>
                <w:b/>
                <w:bCs/>
                <w:sz w:val="19"/>
                <w:szCs w:val="19"/>
              </w:rPr>
              <w:t>89</w:t>
            </w:r>
            <w:r w:rsidRPr="00D62719">
              <w:rPr>
                <w:b/>
                <w:bCs/>
                <w:sz w:val="19"/>
                <w:szCs w:val="19"/>
              </w:rPr>
              <w:t xml:space="preserve"> đồng </w:t>
            </w:r>
            <w:r w:rsidRPr="00D62719">
              <w:rPr>
                <w:sz w:val="19"/>
                <w:szCs w:val="19"/>
              </w:rPr>
              <w:t>(trong đó: Nợ gốc: 211.306.751.267 đồng; Nợ lãi: 251.419.613.62</w:t>
            </w:r>
            <w:r>
              <w:rPr>
                <w:sz w:val="19"/>
                <w:szCs w:val="19"/>
              </w:rPr>
              <w:t>2</w:t>
            </w:r>
            <w:r w:rsidRPr="00D62719">
              <w:rPr>
                <w:sz w:val="19"/>
                <w:szCs w:val="19"/>
              </w:rPr>
              <w:t xml:space="preserve"> đồng)</w:t>
            </w:r>
          </w:p>
          <w:p w:rsidR="00B8092E" w:rsidRPr="00D62719" w:rsidRDefault="00B8092E" w:rsidP="00914043">
            <w:pPr>
              <w:spacing w:before="60" w:after="60" w:line="264" w:lineRule="auto"/>
              <w:jc w:val="both"/>
              <w:rPr>
                <w:b/>
                <w:bCs/>
                <w:sz w:val="19"/>
                <w:szCs w:val="19"/>
              </w:rPr>
            </w:pPr>
            <w:r w:rsidRPr="00D62719">
              <w:rPr>
                <w:sz w:val="19"/>
                <w:szCs w:val="19"/>
              </w:rPr>
              <w:t>Tại</w:t>
            </w:r>
            <w:r w:rsidRPr="00D62719">
              <w:rPr>
                <w:b/>
                <w:bCs/>
                <w:sz w:val="19"/>
                <w:szCs w:val="19"/>
              </w:rPr>
              <w:t xml:space="preserve"> Công ty cổ phần Thép và Vật liệu xây dựng: 389.715.395.41</w:t>
            </w:r>
            <w:r>
              <w:rPr>
                <w:b/>
                <w:bCs/>
                <w:sz w:val="19"/>
                <w:szCs w:val="19"/>
              </w:rPr>
              <w:t>5</w:t>
            </w:r>
            <w:r w:rsidRPr="00D62719">
              <w:rPr>
                <w:b/>
                <w:bCs/>
                <w:sz w:val="19"/>
                <w:szCs w:val="19"/>
              </w:rPr>
              <w:t xml:space="preserve"> đồng </w:t>
            </w:r>
            <w:r w:rsidRPr="00D62719">
              <w:rPr>
                <w:sz w:val="19"/>
                <w:szCs w:val="19"/>
              </w:rPr>
              <w:t>(trong đó:</w:t>
            </w:r>
            <w:r>
              <w:rPr>
                <w:sz w:val="19"/>
                <w:szCs w:val="19"/>
              </w:rPr>
              <w:t xml:space="preserve"> </w:t>
            </w:r>
            <w:r w:rsidRPr="00D62719">
              <w:rPr>
                <w:sz w:val="19"/>
                <w:szCs w:val="19"/>
              </w:rPr>
              <w:t>Nợ gốc: 196.838.204.610 đồng; Nợ lãi: 192.877.190.80</w:t>
            </w:r>
            <w:r>
              <w:rPr>
                <w:sz w:val="19"/>
                <w:szCs w:val="19"/>
              </w:rPr>
              <w:t>5</w:t>
            </w:r>
            <w:r w:rsidRPr="00D62719">
              <w:rPr>
                <w:sz w:val="19"/>
                <w:szCs w:val="19"/>
              </w:rPr>
              <w:t xml:space="preserve"> đồng)</w:t>
            </w:r>
          </w:p>
        </w:tc>
      </w:tr>
      <w:tr w:rsidR="00B8092E" w:rsidRPr="00D62719" w:rsidTr="00914043">
        <w:trPr>
          <w:trHeight w:val="315"/>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t>Số lô cổ phần kèm nợ phải thu bán đấu giá:</w:t>
            </w:r>
          </w:p>
        </w:tc>
        <w:tc>
          <w:tcPr>
            <w:tcW w:w="7230" w:type="dxa"/>
            <w:vAlign w:val="center"/>
          </w:tcPr>
          <w:p w:rsidR="00B8092E" w:rsidRPr="00D62719" w:rsidRDefault="00B8092E" w:rsidP="00914043">
            <w:pPr>
              <w:spacing w:before="60" w:after="60" w:line="264" w:lineRule="auto"/>
              <w:jc w:val="both"/>
              <w:rPr>
                <w:b/>
                <w:bCs/>
                <w:sz w:val="19"/>
                <w:szCs w:val="19"/>
              </w:rPr>
            </w:pPr>
            <w:r w:rsidRPr="00D62719">
              <w:rPr>
                <w:b/>
                <w:bCs/>
                <w:sz w:val="19"/>
                <w:szCs w:val="19"/>
              </w:rPr>
              <w:t>01 lô</w:t>
            </w:r>
            <w:r w:rsidRPr="00D62719">
              <w:rPr>
                <w:bCs/>
                <w:sz w:val="19"/>
                <w:szCs w:val="19"/>
              </w:rPr>
              <w:t xml:space="preserve"> (Toàn bộ số cổ phần và khoản nợ phải thu tại nhóm 02 công ty CTCP Tập đoàn Gang thép Hàn Việt và CTCP Thép và Vật liệu xây dựng được xác định là 01 lô)</w:t>
            </w:r>
          </w:p>
        </w:tc>
      </w:tr>
      <w:tr w:rsidR="00B8092E" w:rsidRPr="00D62719" w:rsidTr="00914043">
        <w:trPr>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t>Giá khởi điểm lô cổ phần kèm nợ phải thu:</w:t>
            </w:r>
          </w:p>
        </w:tc>
        <w:tc>
          <w:tcPr>
            <w:tcW w:w="7230" w:type="dxa"/>
            <w:vAlign w:val="center"/>
          </w:tcPr>
          <w:p w:rsidR="00B8092E" w:rsidRPr="00D62719" w:rsidRDefault="00B8092E" w:rsidP="00914043">
            <w:pPr>
              <w:spacing w:before="60" w:after="60" w:line="264" w:lineRule="auto"/>
              <w:jc w:val="both"/>
              <w:rPr>
                <w:b/>
                <w:sz w:val="19"/>
                <w:szCs w:val="19"/>
              </w:rPr>
            </w:pPr>
            <w:r w:rsidRPr="00D62719">
              <w:rPr>
                <w:b/>
                <w:sz w:val="19"/>
                <w:szCs w:val="19"/>
              </w:rPr>
              <w:t xml:space="preserve">556.053.615.500 đồng/ lô cổ phần kèm nợ phải thu, </w:t>
            </w:r>
            <w:r w:rsidRPr="00D62719">
              <w:rPr>
                <w:sz w:val="19"/>
                <w:szCs w:val="19"/>
              </w:rPr>
              <w:t>trong đó:</w:t>
            </w:r>
          </w:p>
        </w:tc>
      </w:tr>
      <w:tr w:rsidR="00B8092E" w:rsidRPr="00D62719" w:rsidTr="00914043">
        <w:trPr>
          <w:jc w:val="center"/>
        </w:trPr>
        <w:tc>
          <w:tcPr>
            <w:tcW w:w="3720" w:type="dxa"/>
            <w:vAlign w:val="center"/>
          </w:tcPr>
          <w:p w:rsidR="00B8092E" w:rsidRPr="00D62719" w:rsidRDefault="00B8092E" w:rsidP="00B8092E">
            <w:pPr>
              <w:numPr>
                <w:ilvl w:val="0"/>
                <w:numId w:val="2"/>
              </w:numPr>
              <w:spacing w:before="60" w:after="60" w:line="264" w:lineRule="auto"/>
              <w:rPr>
                <w:sz w:val="19"/>
                <w:szCs w:val="19"/>
              </w:rPr>
            </w:pPr>
            <w:r w:rsidRPr="00D62719">
              <w:rPr>
                <w:sz w:val="19"/>
                <w:szCs w:val="19"/>
              </w:rPr>
              <w:t xml:space="preserve">Giá </w:t>
            </w:r>
            <w:r w:rsidRPr="00D62719">
              <w:rPr>
                <w:bCs/>
                <w:sz w:val="19"/>
                <w:szCs w:val="19"/>
              </w:rPr>
              <w:t xml:space="preserve">trị </w:t>
            </w:r>
            <w:r>
              <w:rPr>
                <w:bCs/>
                <w:sz w:val="19"/>
                <w:szCs w:val="19"/>
              </w:rPr>
              <w:t xml:space="preserve">lô </w:t>
            </w:r>
            <w:r w:rsidRPr="00D62719">
              <w:rPr>
                <w:sz w:val="19"/>
                <w:szCs w:val="19"/>
              </w:rPr>
              <w:t>cổ phần:</w:t>
            </w:r>
          </w:p>
        </w:tc>
        <w:tc>
          <w:tcPr>
            <w:tcW w:w="7230" w:type="dxa"/>
            <w:vAlign w:val="center"/>
          </w:tcPr>
          <w:p w:rsidR="00B8092E" w:rsidRPr="00D62719" w:rsidRDefault="00B8092E" w:rsidP="00914043">
            <w:pPr>
              <w:spacing w:before="60" w:after="60" w:line="264" w:lineRule="auto"/>
              <w:jc w:val="both"/>
              <w:rPr>
                <w:sz w:val="19"/>
                <w:szCs w:val="19"/>
              </w:rPr>
            </w:pPr>
            <w:r w:rsidRPr="00D62719">
              <w:rPr>
                <w:sz w:val="19"/>
                <w:szCs w:val="19"/>
              </w:rPr>
              <w:t xml:space="preserve">15.923.030.000 đồng </w:t>
            </w:r>
          </w:p>
        </w:tc>
      </w:tr>
      <w:tr w:rsidR="00B8092E" w:rsidRPr="00D62719" w:rsidTr="00914043">
        <w:trPr>
          <w:jc w:val="center"/>
        </w:trPr>
        <w:tc>
          <w:tcPr>
            <w:tcW w:w="3720" w:type="dxa"/>
            <w:vAlign w:val="center"/>
          </w:tcPr>
          <w:p w:rsidR="00B8092E" w:rsidRPr="00D62719" w:rsidRDefault="00B8092E" w:rsidP="00B8092E">
            <w:pPr>
              <w:numPr>
                <w:ilvl w:val="0"/>
                <w:numId w:val="2"/>
              </w:numPr>
              <w:spacing w:before="60" w:after="60" w:line="264" w:lineRule="auto"/>
              <w:rPr>
                <w:sz w:val="19"/>
                <w:szCs w:val="19"/>
              </w:rPr>
            </w:pPr>
            <w:r w:rsidRPr="00D62719">
              <w:rPr>
                <w:sz w:val="19"/>
                <w:szCs w:val="19"/>
              </w:rPr>
              <w:t>Giá trị khoản nợ phải thu:</w:t>
            </w:r>
          </w:p>
        </w:tc>
        <w:tc>
          <w:tcPr>
            <w:tcW w:w="7230" w:type="dxa"/>
            <w:vAlign w:val="center"/>
          </w:tcPr>
          <w:p w:rsidR="00B8092E" w:rsidRPr="00D62719" w:rsidRDefault="00B8092E" w:rsidP="00914043">
            <w:pPr>
              <w:spacing w:before="60" w:after="60" w:line="264" w:lineRule="auto"/>
              <w:jc w:val="both"/>
              <w:rPr>
                <w:sz w:val="19"/>
                <w:szCs w:val="19"/>
              </w:rPr>
            </w:pPr>
            <w:r w:rsidRPr="00D62719">
              <w:rPr>
                <w:sz w:val="19"/>
                <w:szCs w:val="19"/>
              </w:rPr>
              <w:t>540.130.585.500 đồng</w:t>
            </w:r>
          </w:p>
        </w:tc>
      </w:tr>
      <w:tr w:rsidR="00B8092E" w:rsidRPr="00D62719" w:rsidTr="00914043">
        <w:trPr>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t>Tổ chức bán đấu giá:</w:t>
            </w:r>
          </w:p>
        </w:tc>
        <w:tc>
          <w:tcPr>
            <w:tcW w:w="7230" w:type="dxa"/>
            <w:vAlign w:val="center"/>
          </w:tcPr>
          <w:p w:rsidR="00B8092E" w:rsidRPr="00D62719" w:rsidRDefault="00B8092E" w:rsidP="00914043">
            <w:pPr>
              <w:spacing w:before="60" w:after="60" w:line="264" w:lineRule="auto"/>
              <w:jc w:val="both"/>
              <w:rPr>
                <w:sz w:val="19"/>
                <w:szCs w:val="19"/>
              </w:rPr>
            </w:pPr>
            <w:r w:rsidRPr="00D62719">
              <w:rPr>
                <w:sz w:val="19"/>
                <w:szCs w:val="19"/>
              </w:rPr>
              <w:t>Công ty cổ phần Chứng khoán Quốc Gia (NSI)</w:t>
            </w:r>
          </w:p>
        </w:tc>
      </w:tr>
      <w:tr w:rsidR="00B8092E" w:rsidRPr="00D62719" w:rsidTr="00914043">
        <w:trPr>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Pr>
                <w:sz w:val="19"/>
                <w:szCs w:val="19"/>
              </w:rPr>
              <w:t>Đối tượng</w:t>
            </w:r>
            <w:r w:rsidRPr="00D62719">
              <w:rPr>
                <w:sz w:val="19"/>
                <w:szCs w:val="19"/>
              </w:rPr>
              <w:t xml:space="preserve"> tham gia đấu giá và giới hạn tỷ lệ sở hữu của người nước ngoài: </w:t>
            </w:r>
          </w:p>
        </w:tc>
        <w:tc>
          <w:tcPr>
            <w:tcW w:w="7230" w:type="dxa"/>
            <w:vAlign w:val="center"/>
          </w:tcPr>
          <w:p w:rsidR="00B8092E" w:rsidRPr="00D62719" w:rsidRDefault="00B8092E" w:rsidP="00914043">
            <w:pPr>
              <w:spacing w:before="60" w:after="60" w:line="264" w:lineRule="auto"/>
              <w:jc w:val="both"/>
              <w:rPr>
                <w:sz w:val="19"/>
                <w:szCs w:val="19"/>
              </w:rPr>
            </w:pPr>
            <w:r w:rsidRPr="00D62719">
              <w:rPr>
                <w:sz w:val="19"/>
                <w:szCs w:val="19"/>
              </w:rPr>
              <w:t>Được quy định tại Quy chế chuyển nhượng lô cổ phần kèm nợ phải thu của DATC tại nhóm Công ty Hàn Việt thông qua hình thức bán đấu giá công khai do NSI ban hành.</w:t>
            </w:r>
          </w:p>
        </w:tc>
      </w:tr>
      <w:tr w:rsidR="00B8092E" w:rsidRPr="00D62719" w:rsidTr="00914043">
        <w:trPr>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t xml:space="preserve">Thời gian làm thủ tục đăng ký </w:t>
            </w:r>
            <w:r>
              <w:rPr>
                <w:sz w:val="19"/>
                <w:szCs w:val="19"/>
              </w:rPr>
              <w:t xml:space="preserve">tham gia đấu giá </w:t>
            </w:r>
            <w:r w:rsidRPr="00D62719">
              <w:rPr>
                <w:sz w:val="19"/>
                <w:szCs w:val="19"/>
              </w:rPr>
              <w:t>và nộp tiền đặt cọc:</w:t>
            </w:r>
          </w:p>
        </w:tc>
        <w:tc>
          <w:tcPr>
            <w:tcW w:w="7230" w:type="dxa"/>
            <w:vAlign w:val="center"/>
          </w:tcPr>
          <w:p w:rsidR="00B8092E" w:rsidRPr="00D62719" w:rsidRDefault="00B8092E" w:rsidP="00914043">
            <w:pPr>
              <w:spacing w:before="60" w:after="60" w:line="264" w:lineRule="auto"/>
              <w:jc w:val="both"/>
              <w:rPr>
                <w:bCs/>
                <w:sz w:val="19"/>
                <w:szCs w:val="19"/>
              </w:rPr>
            </w:pPr>
            <w:r w:rsidRPr="00D62719">
              <w:rPr>
                <w:b/>
                <w:bCs/>
                <w:sz w:val="19"/>
                <w:szCs w:val="19"/>
              </w:rPr>
              <w:t xml:space="preserve">Từ 08h00 ngày 20/07/2023 đến 15h30 ngày 02/08/2023  </w:t>
            </w:r>
            <w:r w:rsidRPr="00D62719">
              <w:rPr>
                <w:bCs/>
                <w:sz w:val="19"/>
                <w:szCs w:val="19"/>
              </w:rPr>
              <w:t>(Sáng từ 8h00 – 11h45; chiều từ 12h45 – 17h00 các ngày làm việc)</w:t>
            </w:r>
            <w:r w:rsidRPr="00D62719">
              <w:rPr>
                <w:b/>
                <w:bCs/>
                <w:sz w:val="19"/>
                <w:szCs w:val="19"/>
              </w:rPr>
              <w:t xml:space="preserve"> </w:t>
            </w:r>
            <w:r w:rsidRPr="00D62719">
              <w:rPr>
                <w:bCs/>
                <w:sz w:val="19"/>
                <w:szCs w:val="19"/>
              </w:rPr>
              <w:t>tại trụ sở chính CTCP Chứng khoán Q</w:t>
            </w:r>
            <w:r w:rsidRPr="00D62719">
              <w:rPr>
                <w:sz w:val="19"/>
                <w:szCs w:val="19"/>
              </w:rPr>
              <w:t>uốc Gia (tầng 5, Tòa nhà Samsora Premier, số 105 Chu Văn An, Yết Kiêu, Hà Đông</w:t>
            </w:r>
            <w:r w:rsidRPr="00D62719">
              <w:rPr>
                <w:bCs/>
                <w:sz w:val="19"/>
                <w:szCs w:val="19"/>
              </w:rPr>
              <w:t>, Hà Nội).</w:t>
            </w:r>
          </w:p>
        </w:tc>
      </w:tr>
      <w:tr w:rsidR="00B8092E" w:rsidRPr="00D62719" w:rsidTr="00914043">
        <w:trPr>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t>Thời gian, địa điểm nộp phiếu tham dự đấu giá:</w:t>
            </w:r>
          </w:p>
        </w:tc>
        <w:tc>
          <w:tcPr>
            <w:tcW w:w="7230" w:type="dxa"/>
            <w:vAlign w:val="center"/>
          </w:tcPr>
          <w:p w:rsidR="00B8092E" w:rsidRDefault="00B8092E" w:rsidP="00914043">
            <w:pPr>
              <w:spacing w:before="60" w:after="60" w:line="264" w:lineRule="auto"/>
              <w:jc w:val="both"/>
              <w:rPr>
                <w:b/>
                <w:bCs/>
                <w:sz w:val="19"/>
                <w:szCs w:val="19"/>
              </w:rPr>
            </w:pPr>
            <w:r>
              <w:rPr>
                <w:sz w:val="19"/>
                <w:szCs w:val="19"/>
              </w:rPr>
              <w:t>Thời gian:</w:t>
            </w:r>
            <w:r w:rsidRPr="00D62719">
              <w:rPr>
                <w:sz w:val="19"/>
                <w:szCs w:val="19"/>
              </w:rPr>
              <w:t xml:space="preserve"> Chậm nhất</w:t>
            </w:r>
            <w:r>
              <w:rPr>
                <w:b/>
                <w:bCs/>
                <w:sz w:val="19"/>
                <w:szCs w:val="19"/>
              </w:rPr>
              <w:t xml:space="preserve"> 9h30 ngày 09/08/2023 </w:t>
            </w:r>
          </w:p>
          <w:p w:rsidR="00B8092E" w:rsidRPr="00D62719" w:rsidRDefault="00B8092E" w:rsidP="00914043">
            <w:pPr>
              <w:spacing w:before="60" w:after="60" w:line="264" w:lineRule="auto"/>
              <w:jc w:val="both"/>
              <w:rPr>
                <w:sz w:val="19"/>
                <w:szCs w:val="19"/>
              </w:rPr>
            </w:pPr>
            <w:r w:rsidRPr="00D62719">
              <w:rPr>
                <w:sz w:val="19"/>
                <w:szCs w:val="19"/>
              </w:rPr>
              <w:t>Bỏ trực tiếp vào thùng phiếu tại trụ sở chính CTCP Chứng khoán Quốc Gia</w:t>
            </w:r>
          </w:p>
        </w:tc>
      </w:tr>
      <w:tr w:rsidR="00B8092E" w:rsidRPr="00D62719" w:rsidTr="00914043">
        <w:trPr>
          <w:trHeight w:val="422"/>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t>Thời gian, địa điểm tổ chức đấu giá:</w:t>
            </w:r>
          </w:p>
        </w:tc>
        <w:tc>
          <w:tcPr>
            <w:tcW w:w="7230" w:type="dxa"/>
            <w:vAlign w:val="center"/>
          </w:tcPr>
          <w:p w:rsidR="00B8092E" w:rsidRPr="00D62719" w:rsidRDefault="00B8092E" w:rsidP="00914043">
            <w:pPr>
              <w:spacing w:before="60" w:after="60" w:line="264" w:lineRule="auto"/>
              <w:jc w:val="both"/>
              <w:rPr>
                <w:rStyle w:val="Strong"/>
                <w:bCs w:val="0"/>
                <w:sz w:val="19"/>
                <w:szCs w:val="19"/>
              </w:rPr>
            </w:pPr>
            <w:r w:rsidRPr="00D62719">
              <w:rPr>
                <w:rStyle w:val="Strong"/>
                <w:bCs w:val="0"/>
                <w:sz w:val="19"/>
                <w:szCs w:val="19"/>
              </w:rPr>
              <w:t xml:space="preserve">10h00 ngày </w:t>
            </w:r>
            <w:r>
              <w:rPr>
                <w:rStyle w:val="Strong"/>
                <w:bCs w:val="0"/>
                <w:sz w:val="19"/>
                <w:szCs w:val="19"/>
              </w:rPr>
              <w:t>09</w:t>
            </w:r>
            <w:r w:rsidRPr="00D62719">
              <w:rPr>
                <w:rStyle w:val="Strong"/>
                <w:bCs w:val="0"/>
                <w:sz w:val="19"/>
                <w:szCs w:val="19"/>
              </w:rPr>
              <w:t xml:space="preserve">/08/2023 </w:t>
            </w:r>
            <w:r w:rsidRPr="00D62719">
              <w:rPr>
                <w:rStyle w:val="Strong"/>
                <w:b w:val="0"/>
                <w:bCs w:val="0"/>
                <w:sz w:val="19"/>
                <w:szCs w:val="19"/>
              </w:rPr>
              <w:t>tại trụ sở chính CTCP Chứng khoán Quốc Gia</w:t>
            </w:r>
          </w:p>
        </w:tc>
      </w:tr>
      <w:tr w:rsidR="00B8092E" w:rsidRPr="00D62719" w:rsidTr="00914043">
        <w:trPr>
          <w:trHeight w:val="309"/>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lastRenderedPageBreak/>
              <w:t>Thời gian thanh toán tiền mua lô cổ phần kèm nợ phải thu:</w:t>
            </w:r>
          </w:p>
        </w:tc>
        <w:tc>
          <w:tcPr>
            <w:tcW w:w="7230" w:type="dxa"/>
            <w:vAlign w:val="center"/>
          </w:tcPr>
          <w:p w:rsidR="00B8092E" w:rsidRPr="00D62719" w:rsidRDefault="00B8092E" w:rsidP="00914043">
            <w:pPr>
              <w:spacing w:before="60" w:after="60" w:line="264" w:lineRule="auto"/>
              <w:jc w:val="both"/>
              <w:rPr>
                <w:sz w:val="19"/>
                <w:szCs w:val="19"/>
              </w:rPr>
            </w:pPr>
            <w:r>
              <w:rPr>
                <w:sz w:val="19"/>
                <w:szCs w:val="19"/>
              </w:rPr>
              <w:t>Từ ngày</w:t>
            </w:r>
            <w:r w:rsidRPr="00373157">
              <w:rPr>
                <w:sz w:val="19"/>
                <w:szCs w:val="19"/>
              </w:rPr>
              <w:t xml:space="preserve"> 10/08/2023 đến 16h30 ngày 16/08/2023</w:t>
            </w:r>
          </w:p>
        </w:tc>
      </w:tr>
      <w:tr w:rsidR="00B8092E" w:rsidRPr="00D62719" w:rsidTr="00914043">
        <w:trPr>
          <w:trHeight w:val="60"/>
          <w:jc w:val="center"/>
        </w:trPr>
        <w:tc>
          <w:tcPr>
            <w:tcW w:w="3720" w:type="dxa"/>
            <w:vAlign w:val="center"/>
          </w:tcPr>
          <w:p w:rsidR="00B8092E" w:rsidRPr="00D62719" w:rsidRDefault="00B8092E" w:rsidP="00B8092E">
            <w:pPr>
              <w:numPr>
                <w:ilvl w:val="0"/>
                <w:numId w:val="1"/>
              </w:numPr>
              <w:spacing w:before="60" w:after="60" w:line="264" w:lineRule="auto"/>
              <w:ind w:left="335"/>
              <w:rPr>
                <w:sz w:val="19"/>
                <w:szCs w:val="19"/>
              </w:rPr>
            </w:pPr>
            <w:r w:rsidRPr="00D62719">
              <w:rPr>
                <w:sz w:val="19"/>
                <w:szCs w:val="19"/>
              </w:rPr>
              <w:t>Thời gian hoàn trả tiền cọc:</w:t>
            </w:r>
          </w:p>
        </w:tc>
        <w:tc>
          <w:tcPr>
            <w:tcW w:w="7230" w:type="dxa"/>
            <w:vAlign w:val="center"/>
          </w:tcPr>
          <w:p w:rsidR="00B8092E" w:rsidRPr="00D62719" w:rsidRDefault="00B8092E" w:rsidP="00914043">
            <w:pPr>
              <w:spacing w:before="60" w:after="60" w:line="264" w:lineRule="auto"/>
              <w:jc w:val="both"/>
              <w:rPr>
                <w:sz w:val="19"/>
                <w:szCs w:val="19"/>
              </w:rPr>
            </w:pPr>
            <w:r>
              <w:rPr>
                <w:sz w:val="19"/>
                <w:szCs w:val="19"/>
              </w:rPr>
              <w:t>Từ 8h30 ngày</w:t>
            </w:r>
            <w:r w:rsidRPr="00373157">
              <w:rPr>
                <w:sz w:val="19"/>
                <w:szCs w:val="19"/>
              </w:rPr>
              <w:t xml:space="preserve"> 10/08/2023 đến 16h30 ngày 16/08/2023</w:t>
            </w:r>
          </w:p>
        </w:tc>
      </w:tr>
    </w:tbl>
    <w:bookmarkEnd w:id="0"/>
    <w:p w:rsidR="00B8092E" w:rsidRPr="007E3777" w:rsidRDefault="00B8092E" w:rsidP="00B8092E">
      <w:pPr>
        <w:ind w:left="-993" w:right="-993"/>
        <w:jc w:val="center"/>
        <w:rPr>
          <w:noProof/>
          <w:sz w:val="20"/>
          <w:szCs w:val="20"/>
        </w:rPr>
      </w:pPr>
      <w:r w:rsidRPr="007E3777">
        <w:rPr>
          <w:i/>
          <w:color w:val="000000"/>
          <w:sz w:val="18"/>
          <w:szCs w:val="18"/>
          <w:lang w:val="vi-VN"/>
        </w:rPr>
        <w:t>Thông tin chi tiết về</w:t>
      </w:r>
      <w:r>
        <w:rPr>
          <w:i/>
          <w:color w:val="000000"/>
          <w:sz w:val="18"/>
          <w:szCs w:val="18"/>
        </w:rPr>
        <w:t xml:space="preserve"> hồ sơ doanh nghiệp và việc </w:t>
      </w:r>
      <w:r w:rsidRPr="007E3777">
        <w:rPr>
          <w:i/>
          <w:color w:val="000000"/>
          <w:sz w:val="18"/>
          <w:szCs w:val="18"/>
        </w:rPr>
        <w:t>bán đấu giá lô</w:t>
      </w:r>
      <w:r w:rsidRPr="007E3777">
        <w:rPr>
          <w:i/>
          <w:color w:val="000000"/>
          <w:sz w:val="18"/>
          <w:szCs w:val="18"/>
          <w:lang w:val="vi-VN"/>
        </w:rPr>
        <w:t xml:space="preserve"> cổ phần</w:t>
      </w:r>
      <w:r w:rsidRPr="007E3777">
        <w:rPr>
          <w:i/>
          <w:color w:val="000000"/>
          <w:sz w:val="18"/>
          <w:szCs w:val="18"/>
        </w:rPr>
        <w:t xml:space="preserve"> kèm nợ phải thu</w:t>
      </w:r>
      <w:r w:rsidRPr="007E3777">
        <w:rPr>
          <w:i/>
          <w:color w:val="000000"/>
          <w:sz w:val="18"/>
          <w:szCs w:val="18"/>
          <w:lang w:val="vi-VN"/>
        </w:rPr>
        <w:t xml:space="preserve"> tham khảo tại các website</w:t>
      </w:r>
      <w:r w:rsidRPr="00E85A83">
        <w:rPr>
          <w:i/>
          <w:color w:val="000000"/>
          <w:sz w:val="18"/>
          <w:szCs w:val="18"/>
        </w:rPr>
        <w:t xml:space="preserve">: </w:t>
      </w:r>
      <w:hyperlink r:id="rId7" w:history="1"/>
      <w:r w:rsidRPr="00E85A83">
        <w:rPr>
          <w:i/>
          <w:noProof/>
          <w:sz w:val="18"/>
          <w:szCs w:val="18"/>
        </w:rPr>
        <w:t>https://nsi.com.vn/tin-tuc/thong-bao-ban-dau-gia-lo-co-phan-kem-no-phai-thu-do-datc-so-huu-tai-nhom-cong-ty-han-viet</w:t>
      </w:r>
      <w:r w:rsidRPr="00E85A83">
        <w:rPr>
          <w:rStyle w:val="Hyperlink"/>
          <w:i/>
          <w:sz w:val="18"/>
          <w:szCs w:val="18"/>
        </w:rPr>
        <w:t>;</w:t>
      </w:r>
      <w:r w:rsidRPr="00E85A83">
        <w:rPr>
          <w:i/>
          <w:noProof/>
          <w:sz w:val="18"/>
          <w:szCs w:val="18"/>
        </w:rPr>
        <w:t xml:space="preserve"> </w:t>
      </w:r>
      <w:hyperlink r:id="rId8" w:history="1">
        <w:r w:rsidRPr="00E85A83">
          <w:rPr>
            <w:rStyle w:val="Hyperlink"/>
            <w:i/>
            <w:sz w:val="18"/>
            <w:szCs w:val="18"/>
          </w:rPr>
          <w:t>datc.vn/</w:t>
        </w:r>
      </w:hyperlink>
      <w:r w:rsidRPr="00E85A83">
        <w:rPr>
          <w:rStyle w:val="Hyperlink"/>
          <w:i/>
          <w:sz w:val="18"/>
          <w:szCs w:val="18"/>
        </w:rPr>
        <w:t xml:space="preserve">. </w:t>
      </w:r>
      <w:r w:rsidRPr="00E85A83">
        <w:rPr>
          <w:i/>
          <w:noProof/>
          <w:sz w:val="18"/>
          <w:szCs w:val="18"/>
        </w:rPr>
        <w:t>Liên hệ trực tiếp</w:t>
      </w:r>
      <w:r>
        <w:rPr>
          <w:i/>
          <w:noProof/>
          <w:sz w:val="18"/>
          <w:szCs w:val="18"/>
        </w:rPr>
        <w:t xml:space="preserve"> </w:t>
      </w:r>
      <w:r w:rsidRPr="00E85A83">
        <w:rPr>
          <w:i/>
          <w:noProof/>
          <w:sz w:val="18"/>
          <w:szCs w:val="18"/>
        </w:rPr>
        <w:t xml:space="preserve">về </w:t>
      </w:r>
      <w:r>
        <w:rPr>
          <w:i/>
          <w:noProof/>
          <w:sz w:val="18"/>
          <w:szCs w:val="18"/>
        </w:rPr>
        <w:t>hồ sơ tài sản đảm bảo/nợ phải thu</w:t>
      </w:r>
      <w:r w:rsidRPr="00A43A58">
        <w:rPr>
          <w:i/>
          <w:noProof/>
          <w:sz w:val="18"/>
          <w:szCs w:val="18"/>
        </w:rPr>
        <w:t xml:space="preserve">: </w:t>
      </w:r>
      <w:r w:rsidRPr="00A43A58">
        <w:rPr>
          <w:bCs/>
          <w:i/>
          <w:sz w:val="18"/>
          <w:szCs w:val="18"/>
        </w:rPr>
        <w:t xml:space="preserve">Ông Dương Đức Anh  – Ban MBN2 – DATC - Số điện thoại: </w:t>
      </w:r>
      <w:r w:rsidRPr="00194E88">
        <w:rPr>
          <w:i/>
          <w:sz w:val="18"/>
          <w:szCs w:val="18"/>
          <w:lang w:val="pt-BR"/>
        </w:rPr>
        <w:t>024 36331881</w:t>
      </w:r>
      <w:r w:rsidRPr="00A43A58">
        <w:rPr>
          <w:i/>
          <w:sz w:val="18"/>
          <w:szCs w:val="18"/>
          <w:lang w:val="pt-BR"/>
        </w:rPr>
        <w:t xml:space="preserve"> (ex:</w:t>
      </w:r>
      <w:r>
        <w:rPr>
          <w:i/>
          <w:sz w:val="18"/>
          <w:szCs w:val="18"/>
          <w:lang w:val="pt-BR"/>
        </w:rPr>
        <w:t xml:space="preserve"> 504</w:t>
      </w:r>
      <w:r w:rsidRPr="00A43A58">
        <w:rPr>
          <w:i/>
          <w:sz w:val="18"/>
          <w:szCs w:val="18"/>
          <w:lang w:val="pt-BR"/>
        </w:rPr>
        <w:t xml:space="preserve">) </w:t>
      </w:r>
      <w:r>
        <w:rPr>
          <w:i/>
          <w:sz w:val="18"/>
          <w:szCs w:val="18"/>
          <w:lang w:val="pt-BR"/>
        </w:rPr>
        <w:t>–</w:t>
      </w:r>
      <w:r w:rsidRPr="00A43A58">
        <w:rPr>
          <w:i/>
          <w:sz w:val="18"/>
          <w:szCs w:val="18"/>
          <w:lang w:val="pt-BR"/>
        </w:rPr>
        <w:t xml:space="preserve"> </w:t>
      </w:r>
      <w:r>
        <w:rPr>
          <w:i/>
          <w:sz w:val="18"/>
          <w:szCs w:val="18"/>
          <w:lang w:val="pt-BR"/>
        </w:rPr>
        <w:t>Di động</w:t>
      </w:r>
      <w:r w:rsidRPr="00A43A58">
        <w:rPr>
          <w:i/>
          <w:sz w:val="18"/>
          <w:szCs w:val="18"/>
          <w:lang w:val="pt-BR"/>
        </w:rPr>
        <w:t xml:space="preserve">: </w:t>
      </w:r>
      <w:r w:rsidRPr="00A43A58">
        <w:rPr>
          <w:i/>
          <w:sz w:val="18"/>
          <w:szCs w:val="18"/>
        </w:rPr>
        <w:t>0936886089</w:t>
      </w:r>
    </w:p>
    <w:p w:rsidR="001B1B4B" w:rsidRDefault="001B1B4B"/>
    <w:sectPr w:rsidR="001B1B4B" w:rsidSect="007772F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20D"/>
    <w:multiLevelType w:val="hybridMultilevel"/>
    <w:tmpl w:val="C534EA5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48253E5"/>
    <w:multiLevelType w:val="hybridMultilevel"/>
    <w:tmpl w:val="1E341F44"/>
    <w:lvl w:ilvl="0" w:tplc="E42CFA62">
      <w:start w:val="6"/>
      <w:numFmt w:val="bullet"/>
      <w:lvlText w:val="-"/>
      <w:lvlJc w:val="left"/>
      <w:pPr>
        <w:ind w:left="695" w:hanging="360"/>
      </w:pPr>
      <w:rPr>
        <w:rFonts w:ascii="Times New Roman" w:eastAsia="Times New Roman" w:hAnsi="Times New Roman" w:cs="Times New Roman"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 w15:restartNumberingAfterBreak="0">
    <w:nsid w:val="47D041D1"/>
    <w:multiLevelType w:val="hybridMultilevel"/>
    <w:tmpl w:val="4E2A1284"/>
    <w:lvl w:ilvl="0" w:tplc="A68278BE">
      <w:start w:val="1"/>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2E"/>
    <w:rsid w:val="001B1B4B"/>
    <w:rsid w:val="007772F4"/>
    <w:rsid w:val="00AA7EB7"/>
    <w:rsid w:val="00B8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70BFF-5579-4782-AC56-AA7352B5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92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092E"/>
    <w:rPr>
      <w:color w:val="0000FF"/>
      <w:u w:val="single"/>
    </w:rPr>
  </w:style>
  <w:style w:type="character" w:styleId="Strong">
    <w:name w:val="Strong"/>
    <w:qFormat/>
    <w:rsid w:val="00B80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sco.com.vn/"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92966-AF2D-4999-822A-05352FC78FF4}"/>
</file>

<file path=customXml/itemProps2.xml><?xml version="1.0" encoding="utf-8"?>
<ds:datastoreItem xmlns:ds="http://schemas.openxmlformats.org/officeDocument/2006/customXml" ds:itemID="{B9D0F74C-1CD0-4F47-9009-715D0A4DFFAF}"/>
</file>

<file path=customXml/itemProps3.xml><?xml version="1.0" encoding="utf-8"?>
<ds:datastoreItem xmlns:ds="http://schemas.openxmlformats.org/officeDocument/2006/customXml" ds:itemID="{EB3674DD-D5F3-40F8-9367-AD7FAECB8C6A}"/>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Duc Anh</dc:creator>
  <cp:keywords/>
  <dc:description/>
  <cp:lastModifiedBy>Quach Que Anh</cp:lastModifiedBy>
  <cp:revision>2</cp:revision>
  <dcterms:created xsi:type="dcterms:W3CDTF">2023-07-20T06:45:00Z</dcterms:created>
  <dcterms:modified xsi:type="dcterms:W3CDTF">2023-07-20T06:45:00Z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